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 xml:space="preserve">Приказ Министерства просвещения РФ от 2 сентября 2020 г. № 457 "Об утверждении Порядка приема на </w:t>
      </w:r>
      <w:proofErr w:type="gramStart"/>
      <w:r w:rsidRPr="0054118B">
        <w:rPr>
          <w:rFonts w:ascii="Verdana" w:hAnsi="Verdana" w:cs="Tahoma"/>
          <w:b/>
          <w:color w:val="000000"/>
          <w:sz w:val="21"/>
          <w:szCs w:val="21"/>
        </w:rPr>
        <w:t>обучение по</w:t>
      </w:r>
      <w:proofErr w:type="gramEnd"/>
      <w:r w:rsidRPr="0054118B">
        <w:rPr>
          <w:rFonts w:ascii="Verdana" w:hAnsi="Verdana" w:cs="Tahoma"/>
          <w:b/>
          <w:color w:val="000000"/>
          <w:sz w:val="21"/>
          <w:szCs w:val="21"/>
        </w:rPr>
        <w:t xml:space="preserve"> образовательным программам среднего профессионального образования"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9 ноября 2020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В соответствии с частью 8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2019, № 30, ст. 4134) и подпунктом 4.2,21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5343), приказываю: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1. Утвердить прилагаемый Порядок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среднего профессионального образования.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2. Признать утратившими силу: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приказ Министерства образования и науки Российской Федерации от 15 января 2009 г. № 4 "Об утверждении Порядка приема в имеющие государственную аккредитацию образовательные учреждения среднего профессионального образования" (зарегистрирован Министерством юстиции Российской Федерации 2 февраля 2009 г., регистрационный № 13239);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приказ Министерства образования и науки Российской Федерации от 14 марта 2012 г. № 200 "О внесении изменений в Порядок приема в имеющие государственную аккредитацию образовательные учреждения среднего профессионального образования, утвержденный приказом Министерства образования и науки Российской Федерации от 15 января 2009 г. № 4" (зарегистрирован Министерством юстиции Российской Федерации 3 апреля 2012 г., регистрационный № 23711);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приказ Министерства образования и науки Российской Федерации от 23 января 2014 г. № 36 "Об утверждении Порядка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среднего профессионального образования" (зарегистрирован Министерством юстиции Российской Федерации 6 марта 2014 г., регистрационный № 31529);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приказ Министерства образования и науки Российской Федерации от 11 декабря 2015 г. № 1456 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№ 36" (зарегистрирован Министерством юстиции Российской Федерации 13 января 2016 г., регистрационный № 40560);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приказ Министерства просвещения Российской Федерации от 26 ноября 2018 г. № 243 "О внесении изменений в Порядок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№ 36" (зарегистрирован Министерством юстиции Российской Федерации 21 января 2019 г., регистрационный № 53458);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 xml:space="preserve">приказ Министерства просвещения Российской Федерации от 26 марта 2019 г. № 131 "О внесении изменения в Порядок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№ 36" (зарегистрирован Министерством юстиции Российской Федерации 22 апреля 2019 г., регистрационный № 54472).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3. Настоящий приказ вступает в силу с 1 января 2021 года и действует до 1 января 2027 года.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Министр</w:t>
      </w:r>
      <w:r w:rsidRPr="0054118B">
        <w:rPr>
          <w:rFonts w:ascii="Verdana" w:hAnsi="Verdana" w:cs="Tahoma"/>
          <w:b/>
          <w:color w:val="000000"/>
          <w:sz w:val="18"/>
          <w:szCs w:val="18"/>
        </w:rPr>
        <w:tab/>
      </w:r>
      <w:r w:rsidRPr="0054118B">
        <w:rPr>
          <w:rFonts w:ascii="Verdana" w:hAnsi="Verdana" w:cs="Tahoma"/>
          <w:b/>
          <w:color w:val="000000"/>
          <w:sz w:val="21"/>
          <w:szCs w:val="21"/>
        </w:rPr>
        <w:t>С.С. Кравцов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Зарегистрировано в Минюсте РФ 6 ноября 2020 г.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Регистрационный № 60770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Приложение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УТВЕРЖДЕН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приказом Министерства просвещения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Российской Федерации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>от 2 сентября 2020 г. № 457</w:t>
      </w:r>
    </w:p>
    <w:p w:rsidR="00EA6786" w:rsidRPr="0054118B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54118B">
        <w:rPr>
          <w:rFonts w:ascii="Verdana" w:hAnsi="Verdana" w:cs="Tahoma"/>
          <w:b/>
          <w:color w:val="000000"/>
          <w:sz w:val="21"/>
          <w:szCs w:val="21"/>
        </w:rPr>
        <w:t xml:space="preserve">Порядок приема на </w:t>
      </w:r>
      <w:proofErr w:type="gramStart"/>
      <w:r w:rsidRPr="0054118B">
        <w:rPr>
          <w:rFonts w:ascii="Verdana" w:hAnsi="Verdana" w:cs="Tahoma"/>
          <w:b/>
          <w:color w:val="000000"/>
          <w:sz w:val="21"/>
          <w:szCs w:val="21"/>
        </w:rPr>
        <w:t>обучение по</w:t>
      </w:r>
      <w:proofErr w:type="gramEnd"/>
      <w:r w:rsidRPr="0054118B">
        <w:rPr>
          <w:rFonts w:ascii="Verdana" w:hAnsi="Verdana" w:cs="Tahoma"/>
          <w:b/>
          <w:color w:val="000000"/>
          <w:sz w:val="21"/>
          <w:szCs w:val="21"/>
        </w:rPr>
        <w:t xml:space="preserve"> образовательным программам среднего профессионального образования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I. Общие положения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Настоящий Порядок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образовательные организации, осуществляющие образовательную деятельность по образовательным программам среднего профессионального образования (далее - образовательные организации), за счет бюджетных ассигнований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федерального бюджета, бюджетов субъектов Российской Федерации, местных бюджетов,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2. Действие настоящего Порядка не распространяется на образовательные организации, осуществляющие образовательную деятельность по основным </w:t>
      </w:r>
      <w:r>
        <w:rPr>
          <w:rFonts w:ascii="Verdana" w:hAnsi="Verdana" w:cs="Tahoma"/>
          <w:color w:val="000000"/>
          <w:sz w:val="21"/>
          <w:szCs w:val="21"/>
        </w:rPr>
        <w:lastRenderedPageBreak/>
        <w:t>профессиональным образовательным программам, реализуемым в интересах обороны и безопасности государства, обеспечения законности и правопорядка.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3. Правила приема в конкретную образовательную организацию на обучение по образовательным программам (далее - правила приема) устанавливаются в части, не урегулированной законодательством об образовании, образовательной организацией, самостоятельно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1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4. Прием в образовательные организации лиц для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обучения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№ 273-ФЗ "Об образовании в Российской Федерации"2 (далее - Федеральный закон "Об образовании в Российской Федерации").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5. Прием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"Об образовании в Российской Федерации"3.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6.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4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7. Организацию приема на обучение в филиале осуществляет приемная комиссия образовательной организации в порядке, определяемом правилами приема.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8. Условиями приема на обучение по образовательным программам должны быть гарантированы соблюдение права на образование и зачисление из числа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поступающих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лиц5.</w:t>
      </w:r>
    </w:p>
    <w:p w:rsidR="0054118B" w:rsidRDefault="0054118B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II. Организация приема в образовательную организацию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9. Организация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осуществляется приемной комиссией образовательной организации (далее - приемная комиссия).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Председателем приемной комиссии является руководитель образовательной организации.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10. 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12. Для организации и проведения вступительных испытаний по специальностям, требующим наличия у поступающих определенных творческих </w:t>
      </w:r>
      <w:r>
        <w:rPr>
          <w:rFonts w:ascii="Verdana" w:hAnsi="Verdana" w:cs="Tahoma"/>
          <w:color w:val="000000"/>
          <w:sz w:val="21"/>
          <w:szCs w:val="21"/>
        </w:rPr>
        <w:lastRenderedPageBreak/>
        <w:t>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13.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54118B" w:rsidRDefault="0054118B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III. Организация информирования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поступающих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15. Образовательная организация объявляет прием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на обучение по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. Настоящее требование не распространяется на организации, осуществляющие свою деятельность на территориях инновационных научно-технологических центров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6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16.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17.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  <w:proofErr w:type="gramEnd"/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18.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18.1. Не позднее 1 марта: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правила приема в образовательную организацию;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условия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 договорам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 оказании платных образовательных услуг;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очно-заочная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, заочная);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требования к уровню образования, которое необходимо для поступления (основное общее или среднее общее образование);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перечень вступительных испытаний;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информацию о формах проведения вступительных испытаний;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left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информацию о необходимости (отсутствии необходимости) прохождения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18.2. Не позднее 1 июня: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правила подачи и рассмотрения апелляций по результатам вступительных испытаний;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информацию о наличии общежития и количестве мест в общежитиях, выделяемых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для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иногородних поступающих;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образец договора об оказании платных образовательных услуг.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19.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очно-заочная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, заочная).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организацию.</w:t>
      </w:r>
    </w:p>
    <w:p w:rsidR="0054118B" w:rsidRDefault="0054118B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IV. Прием документов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от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поступающих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20. Прием в образовательные организации по образовательным программам проводится на первый курс по личному заявлению граждан.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Прием документов начинается не позднее 20 июня.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Прием заявлений у лиц, поступающих для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обучения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Сроки приема заявлений в образовательные организации на иные формы получения образования (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очно-заочная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,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заочная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) устанавливаются правилами приема.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21. При подаче заявления (на русском языке) о приеме в образовательные организации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предъявляет следующие документы: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21.1. Граждане Российской Федерации: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оригинал или копию документов, удостоверяющих его личность, гражданство;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оригинал или копию документа об образовании и (или) документа об образовании и о квалификации;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 фотографии;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21.2. Иностранные граждане, лица без гражданства, в том числе соотечественники, проживающие за рубежом: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Федерации"7 (в случае, установленном Федеральным законом "Об образовании в Российской Федерации", - также свидетельство 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признании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иностранного образования);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заверенный в порядке, установленном статьей 81 Основ законодательства Российской Федерации о нотариате от 11 февраля 1993 г. № 4462-18,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 99-ФЗ "О государственной политике Российской Федерации в отношении соотечественников за рубежом"9;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 фотографии.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</w:t>
      </w:r>
      <w:r>
        <w:rPr>
          <w:rFonts w:ascii="Verdana" w:hAnsi="Verdana" w:cs="Tahoma"/>
          <w:color w:val="000000"/>
          <w:sz w:val="21"/>
          <w:szCs w:val="21"/>
        </w:rPr>
        <w:lastRenderedPageBreak/>
        <w:t xml:space="preserve">имени и отчеству (последнее - при наличии),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указанным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в документе, удостоверяющем личность иностранного гражданина в Российской Федерации;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21.3.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21.4. Поступающие помимо документов, указанных в пунктах 21.1 - 21.3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21.5. При личном представлении оригиналов документов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допускается заверение их копий образовательной организацией.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22. В заявлении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указываются следующие обязательные сведения: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фамилия, имя и отчество (последнее - при наличии);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дата рождения;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реквизиты документа, удостоверяющего его личность, когда и кем выдан;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специальност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ь(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и)/профессия(и), для обучения по которым он планирует поступать в образовательную организацию,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нуждаемость в предоставлении общежития;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Подписью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поступающего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заверяется также следующее: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факт получения среднего профессионального образования впервые;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обучающихся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поступающему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23.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69710, поступающие проходят обязательные предварительные медицинские осмотры (обследования) в порядке, установленном при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заключении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трудового договора или служебного контракта по соответствующей должности, профессии или специальности.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24.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1) лично в образовательную организацию;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 г. № 63-ФЗ "Об электронной подписи"11, Федеральным законом от 27 июля 2006 г. № 149-ФЗ "Об информации, информационных технологиях и о защите информации"12, Федеральным законом от 7 июля 2003 г. № 126-ФЗ "О связи"13 (документ на бумажном носителе, преобразованный в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20 настоящего Порядка.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25. Не допускается взимание платы с поступающих при подаче документов, указанных в пункте 21 настоящего Порядка.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26. На каждого поступающего заводится личное дело, в котором хранятся все сданные документы (копии документов).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27.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Поступающему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при личном представлении документов выдается расписка о приеме документов.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28.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54118B" w:rsidRDefault="0054118B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V. Вступительные испытания</w:t>
      </w:r>
    </w:p>
    <w:p w:rsidR="0054118B" w:rsidRDefault="0054118B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29.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Федерации14, проводятся вступительные испытания при приеме на обучение по следующим специальностям среднего профессионального образования: 49.02.01 Физическая культура, 49.02.02 Адаптивная физическая культура, 20.02.04 Пожарная безопасность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,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20.02.02 Защита в чрезвычайных ситуациях, 40.02.02 Правоохранительная деятельность, 44.02.03 Педагогика дополнительного образования15, 31.02.01 Лечебное дело, 31.02.02 Акушерское дело, 31.02.05 Стоматология ортопедическая, 34.02.01 Сестринское дело, 42.02.01 Реклама, 53.02.01 Музыкальное образование, 54.02.06 Изобразительное искусство и черчение, 53.02.09 Театрально-декорационное искусство, 53.02.08 Музыкальное звукооператорское мастерство, 52.02.03 Цирковое искусство, 53.02.02 Музыкальное искусство эстрады (по видам), 52.02.05 Искусство эстрады, 52.02.04 Актерское искусство, 54.02.05 Живопись, 54.02.07 Скульптура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,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 xml:space="preserve">55.02.02 Анимация, 52.02.01 Искусство балета, 52.02.02 Искусство танца (по видам), 51.02.01 Народное художественное творчество (по видам), 54.02.04 Реставрация, 54.02.01 Дизайн (по отраслям), 54.02.02 Декоративно-прикладное искусство и народные промыслы (по видам), 54.02.03 Художественное оформление изделий текстильной </w:t>
      </w:r>
      <w:r>
        <w:rPr>
          <w:rFonts w:ascii="Verdana" w:hAnsi="Verdana" w:cs="Tahoma"/>
          <w:color w:val="000000"/>
          <w:sz w:val="21"/>
          <w:szCs w:val="21"/>
        </w:rPr>
        <w:lastRenderedPageBreak/>
        <w:t xml:space="preserve">и легкой промышленности, 53.02.07 Теория музыки, 53.02.03 Инструментальное исполнительство (по видам инструментов), 53.02.04 Вокальное искусство, 53.02.05 Сольное и хоровое народное пение, 53.02.06 Хоровое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дирижирование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, 43.02.02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 xml:space="preserve">Парикмахерское искусство, 43.02.13 Технология парикмахерского искусства, 43.02.12 Технология эстетических услуг, 43.02.03 Стилистика и искусство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визажа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, 35.02.12 Садово-парковое и ландшафтное строительство, 29.02.01 Конструирование, моделирование и технология изделий из кожи, 29.02.04 Конструирование, моделирование и технология швейных изделий, 29.02.03 Конструирование, моделирование и технология изделий из меха, 07.02.01 Архитектура, 25.02.04 Летная эксплуатация летательных аппаратов, 55.02.01 Театральная и аудиовизуальная техника (по видам).</w:t>
      </w:r>
      <w:proofErr w:type="gramEnd"/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30. Вступительные испытания проводятся в письменной и (или) устной форме, в виде прослушивания, просмотра, собеседования или в ином виде, определяемом правилами приема.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31. Вступительное испытание, проводимое в устной форме, оформляется протоколом, в котором фиксируются вопросы к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поступающему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 комментарии экзаменаторов.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32.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по соответствующим образовательным программам.</w:t>
      </w:r>
    </w:p>
    <w:p w:rsidR="00E97220" w:rsidRDefault="00E97220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E97220" w:rsidRDefault="00E97220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33.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34. При проведении вступительных испытаний обеспечивается соблюдение следующих требований: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предоставляется в печатном виде инструкция о порядке проведения вступительных испытаний;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категорий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поступающих с ограниченными возможностями здоровья: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а) для слепых: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надиктовываются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ассистенту;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б) для слабовидящих: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обеспечивается индивидуальное равномерное освещение не менее 300 люкс;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для выполнения задания при необходимости предоставляется увеличивающее устройство;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в) для глухих и слабослышащих: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наличие звукоусиливающей аппаратуры коллективного пользования, при необходимости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предоставляется звукоусиливающая аппаратура индивидуального пользования;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 w:cs="Tahoma"/>
          <w:color w:val="000000"/>
          <w:sz w:val="21"/>
          <w:szCs w:val="21"/>
        </w:rPr>
        <w:t>д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надиктовываются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ассистенту;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 xml:space="preserve">по желанию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поступающих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все вступительные испытания могут проводиться в устной форме.</w:t>
      </w:r>
    </w:p>
    <w:p w:rsidR="00E97220" w:rsidRDefault="00E97220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VII. Общие правила подачи и рассмотрения апелляций</w:t>
      </w:r>
    </w:p>
    <w:p w:rsidR="00E97220" w:rsidRDefault="00E97220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35. По результатам вступительного испытания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37. Апелляция подается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38. В апелляционную комиссию при рассмотрении апелляций рекомендуется включать в качестве независимых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экспертов представителей органов исполнительной власти субъектов Российской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Федерации, осуществляющих государственное управление в сфере образования.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39.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40. С несовершеннолетним поступающим имеет право присутствовать один из родителей (законных представителей).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41.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42. После рассмотрения апелляции выносится решение апелляционной комиссии об оценке по вступительному испытанию.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Оформленное протоколом решение апелляционной комиссии доводится до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сведения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поступающего (под роспись).</w:t>
      </w:r>
    </w:p>
    <w:p w:rsidR="00E97220" w:rsidRDefault="00E97220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VIII. Зачисление в образовательную организацию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43.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44.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</w:t>
      </w:r>
      <w:r>
        <w:rPr>
          <w:rFonts w:ascii="Verdana" w:hAnsi="Verdana" w:cs="Tahoma"/>
          <w:color w:val="000000"/>
          <w:sz w:val="21"/>
          <w:szCs w:val="21"/>
        </w:rPr>
        <w:lastRenderedPageBreak/>
        <w:t xml:space="preserve">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пофамильный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документах об образовании и (или) документах об образовании и о квалификации, результатов индивидуальных достижений, сведения о которых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поступающий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вправе представить при приеме, а также наличия договора о целевом обучении с организациями, указанными в части 1 статьи 71.1 Федерального закона "Об образовании в Российской Федерации"16.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45. При приеме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образовательным программам образовательной организацией учитываются следующие результаты индивидуальных достижений: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color w:val="000000"/>
          <w:sz w:val="21"/>
          <w:szCs w:val="21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г. № 1239 "Об утверждении Правил выявления детей, проявивших выдающиеся способности, сопровождения и мониторинга их дальнейшего развития"17;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Абилимпикс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";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3) 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Ворлдскиллс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Россия)", или международной организацией "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Ворлдскиллс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Интернешнл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WorldSkills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International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”, или международной организацией "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Ворлдскиллс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Европа (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WorldSkills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Е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ur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оре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)";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4) наличие у поступающего статуса чемпиона или призера Олимпийских игр,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Паралимпийских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 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Сурдлимпийских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Паралимпийских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 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Сурдлимпийских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игр;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Паралимпийских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 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Сурдлимпийских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игр.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46.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------------------------------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 Часть 9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 7598).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 Собрание законодательства Российской Федерации, 2012, № 53, ст. 7598, 2020, № 31, ст. 5062.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3 Собрание законодательства Российской Федерации, 2012, № 53, ст. 7598; 2018, № 32, ст. 5130.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4 Федеральный закон от 27 июля 2006 г. № 152-ФЗ "О персональных данных" (Собрание законодательства Российской Федерации, 2006, № 31, ст. 3451; 2020, № 17, ст. 2701).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5 Часть 6 статьи 55 Федерального закона "Об образовании в Российской Федерации" (Собрание законодательства Российской Федерации, 2012, № 53, ст. 7598).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6 Часть 10 статьи 21 Федерального закона от 29 июля 2017 г. № 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№ 31, ст. 4765).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7 Собрание законодательства Российской Федерации, 2012, № 53, ст. 7598; 2019, № 30, ст. 4134.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8 Ведомости Съезда народных депутатов Российской Федерации и Верховного Совета Российской Федерации, 1993, № 10, ст. 357.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9 Собрание законодательства Российской Федерации, 1999, № 22, ст. 2670; 2013, № 30, ст. 4036.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10 Собрание законодательства Российской Федерации, 2013, № 33, ст. 4398.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11 Собрание законодательства Российской Федерации, 2011, № 15, ст. 2036; 2020, № 24, ст. 3755.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12 Собрание законодательства Российской Федерации, 2006, № 31, ст. 3448; 2020, № 14, ст. 2035.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13 Собрание законодательства Российской Федерации, 2003, № 28, ст. 2895; 2020, № 15, ст. 2233.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14 Часть 8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 7598; 2019, № 30, ст. 4134).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15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 xml:space="preserve"> В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случае подготовки педагога дополнительного образования в следующих областях деятельности: музыкальной, сценической, хореографии, изобразительной, декоративно-прикладном искусстве и физкультурно-оздоровительной.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16 Собрание законодательства Российской Федерации, 2012, № 53, ст. 7598; 2018, № 32, ст. 5130.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17 Собрание законодательства Российской Федерации, 2015, № 47, ст. 6602; 2020, № 22, ст. 3526.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Обзор документа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________________________________________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 w:cs="Tahoma"/>
          <w:color w:val="000000"/>
          <w:sz w:val="21"/>
          <w:szCs w:val="21"/>
        </w:rPr>
        <w:t>Минпросвещения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установило новый порядок приема на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обучение по программам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среднего профобразования. Он вводится в действие с 1 января 2021 г. и действует до 1 января 2027 г.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В числе основных нововведений можно выделить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следующие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>: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- возможность подачи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поступающими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документов при приеме на обучение по электронной почте, через сайт образовательной орган</w:t>
      </w:r>
      <w:r w:rsidR="00E97220">
        <w:rPr>
          <w:rFonts w:ascii="Verdana" w:hAnsi="Verdana" w:cs="Tahoma"/>
          <w:color w:val="000000"/>
          <w:sz w:val="21"/>
          <w:szCs w:val="21"/>
        </w:rPr>
        <w:t xml:space="preserve">изации или региональный портал </w:t>
      </w:r>
      <w:proofErr w:type="spellStart"/>
      <w:r w:rsidR="00E97220">
        <w:rPr>
          <w:rFonts w:ascii="Verdana" w:hAnsi="Verdana" w:cs="Tahoma"/>
          <w:color w:val="000000"/>
          <w:sz w:val="21"/>
          <w:szCs w:val="21"/>
        </w:rPr>
        <w:t>Г</w:t>
      </w:r>
      <w:r>
        <w:rPr>
          <w:rFonts w:ascii="Verdana" w:hAnsi="Verdana" w:cs="Tahoma"/>
          <w:color w:val="000000"/>
          <w:sz w:val="21"/>
          <w:szCs w:val="21"/>
        </w:rPr>
        <w:t>осуслуг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расширение перечня специальностей, требующих наличия творческих способностей, при приеме на обучение по которым проводятся вступительные испытания;</w:t>
      </w:r>
    </w:p>
    <w:p w:rsidR="00EA6786" w:rsidRDefault="00EA6786" w:rsidP="005411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учет при приеме на обучение спортивных достижений мирового или европейского уровня.</w:t>
      </w:r>
    </w:p>
    <w:p w:rsidR="00EA6786" w:rsidRDefault="00EA6786" w:rsidP="00E9722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Образовательные организации на территориях инновационных научно-технологических центров могут объявлять прием на обучение и при отсутствии лицензии на образовательную деятельность по соответствующим программам.</w:t>
      </w:r>
    </w:p>
    <w:p w:rsidR="009A475B" w:rsidRDefault="00E97220" w:rsidP="0054118B"/>
    <w:p w:rsidR="00EA6786" w:rsidRDefault="00EA6786" w:rsidP="0054118B"/>
    <w:p w:rsidR="00EA6786" w:rsidRDefault="00EA6786" w:rsidP="0054118B"/>
    <w:p w:rsidR="0054118B" w:rsidRDefault="0054118B"/>
    <w:sectPr w:rsidR="0054118B" w:rsidSect="002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786"/>
    <w:rsid w:val="002358EE"/>
    <w:rsid w:val="003A07A0"/>
    <w:rsid w:val="0051614F"/>
    <w:rsid w:val="0052336D"/>
    <w:rsid w:val="0054118B"/>
    <w:rsid w:val="007B678E"/>
    <w:rsid w:val="008D6C87"/>
    <w:rsid w:val="009A2CCD"/>
    <w:rsid w:val="00C77D04"/>
    <w:rsid w:val="00DC464F"/>
    <w:rsid w:val="00E97220"/>
    <w:rsid w:val="00EA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5" w:line="360" w:lineRule="auto"/>
        <w:ind w:left="-6" w:right="474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786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5742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1</cp:revision>
  <dcterms:created xsi:type="dcterms:W3CDTF">2025-02-25T06:12:00Z</dcterms:created>
  <dcterms:modified xsi:type="dcterms:W3CDTF">2025-02-25T06:35:00Z</dcterms:modified>
</cp:coreProperties>
</file>